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cap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әл-Фараби атындағы Қазақ ұлттық университеті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cap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Философия және саясаттану факультеті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lang w:val="kk-KZ"/>
        </w:rPr>
      </w:pPr>
      <w:r w:rsidRPr="008E0E9F">
        <w:rPr>
          <w:rFonts w:ascii="Times New Roman" w:hAnsi="Times New Roman" w:cs="Times New Roman"/>
          <w:b/>
          <w:bCs/>
          <w:caps/>
          <w:lang w:val="kk-KZ"/>
        </w:rPr>
        <w:t>Дінтану және мәдениеттану кафедрасы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lang w:val="kk-KZ"/>
        </w:rPr>
      </w:pPr>
    </w:p>
    <w:p w:rsidR="005540DB" w:rsidRPr="0027078B" w:rsidRDefault="005540DB" w:rsidP="005540DB">
      <w:pPr>
        <w:jc w:val="center"/>
        <w:rPr>
          <w:sz w:val="28"/>
          <w:szCs w:val="28"/>
          <w:lang w:val="kk-KZ"/>
        </w:rPr>
      </w:pPr>
    </w:p>
    <w:p w:rsidR="005540DB" w:rsidRPr="005B3D76" w:rsidRDefault="005540DB" w:rsidP="0055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D76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5B3D76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caps/>
          <w:lang w:val="kk-KZ"/>
        </w:rPr>
      </w:pP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caps/>
        </w:rPr>
      </w:pPr>
      <w:r w:rsidRPr="008E0E9F">
        <w:rPr>
          <w:rFonts w:ascii="Times New Roman" w:hAnsi="Times New Roman" w:cs="Times New Roman"/>
          <w:b/>
          <w:bCs/>
          <w:caps/>
        </w:rPr>
        <w:t xml:space="preserve">«Этика  және Бизнес мәдениеті»  </w:t>
      </w:r>
      <w:proofErr w:type="gramStart"/>
      <w:r w:rsidRPr="008E0E9F">
        <w:rPr>
          <w:rFonts w:ascii="Times New Roman" w:hAnsi="Times New Roman" w:cs="Times New Roman"/>
          <w:b/>
          <w:bCs/>
          <w:caps/>
        </w:rPr>
        <w:t>п</w:t>
      </w:r>
      <w:proofErr w:type="gramEnd"/>
      <w:r w:rsidRPr="008E0E9F">
        <w:rPr>
          <w:rFonts w:ascii="Times New Roman" w:hAnsi="Times New Roman" w:cs="Times New Roman"/>
          <w:b/>
          <w:bCs/>
          <w:caps/>
        </w:rPr>
        <w:t xml:space="preserve">әні бойынша 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caps/>
        </w:rPr>
      </w:pPr>
      <w:r w:rsidRPr="008E0E9F">
        <w:rPr>
          <w:rFonts w:ascii="Times New Roman" w:hAnsi="Times New Roman" w:cs="Times New Roman"/>
          <w:b/>
          <w:bCs/>
          <w:caps/>
        </w:rPr>
        <w:t>семинар  сабақтары мен ө</w:t>
      </w:r>
      <w:proofErr w:type="gramStart"/>
      <w:r w:rsidRPr="008E0E9F">
        <w:rPr>
          <w:rFonts w:ascii="Times New Roman" w:hAnsi="Times New Roman" w:cs="Times New Roman"/>
          <w:b/>
          <w:bCs/>
          <w:caps/>
        </w:rPr>
        <w:t>з</w:t>
      </w:r>
      <w:proofErr w:type="gramEnd"/>
      <w:r w:rsidRPr="008E0E9F">
        <w:rPr>
          <w:rFonts w:ascii="Times New Roman" w:hAnsi="Times New Roman" w:cs="Times New Roman"/>
          <w:b/>
          <w:bCs/>
          <w:caps/>
        </w:rPr>
        <w:t xml:space="preserve">індік дайындыққа </w:t>
      </w:r>
    </w:p>
    <w:p w:rsidR="000D0FB0" w:rsidRPr="008E0E9F" w:rsidRDefault="000D0FB0" w:rsidP="000D0FB0">
      <w:pPr>
        <w:pStyle w:val="a5"/>
        <w:rPr>
          <w:rFonts w:ascii="Times New Roman" w:hAnsi="Times New Roman" w:cs="Times New Roman"/>
          <w:b/>
          <w:bCs/>
          <w:caps/>
        </w:rPr>
      </w:pPr>
      <w:r w:rsidRPr="008E0E9F">
        <w:rPr>
          <w:rFonts w:ascii="Times New Roman" w:hAnsi="Times New Roman" w:cs="Times New Roman"/>
          <w:b/>
          <w:bCs/>
          <w:caps/>
        </w:rPr>
        <w:t>әдіснамалық  нұсқаулар</w:t>
      </w:r>
    </w:p>
    <w:p w:rsidR="000D0FB0" w:rsidRPr="008E0E9F" w:rsidRDefault="000D0FB0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61669" w:rsidRDefault="00561669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>«Этика және бизнес мәдениеті» пәні бойынша</w:t>
      </w:r>
      <w:r w:rsidR="00554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540DB" w:rsidRPr="0027078B" w:rsidRDefault="005B3D76" w:rsidP="000D0FB0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540DB" w:rsidRPr="002707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</w:t>
      </w:r>
    </w:p>
    <w:p w:rsidR="00701DD4" w:rsidRPr="008E0E9F" w:rsidRDefault="00561669" w:rsidP="00782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СӨЖ орындау кестесі </w:t>
      </w:r>
    </w:p>
    <w:p w:rsidR="00561669" w:rsidRPr="008E0E9F" w:rsidRDefault="008E0E9F" w:rsidP="0078235D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Оқытушы: </w:t>
      </w:r>
      <w:r w:rsidR="00561669" w:rsidRPr="008E0E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Ғабитов Т.Х.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2392"/>
        <w:gridCol w:w="3687"/>
        <w:gridCol w:w="3334"/>
      </w:tblGrid>
      <w:tr w:rsidR="00561669" w:rsidRPr="008E0E9F" w:rsidTr="00613CC5">
        <w:trPr>
          <w:trHeight w:val="6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6166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0E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Default="0056166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Та</w:t>
            </w:r>
            <w:r w:rsidR="00FA3739"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псырмалар та</w:t>
            </w:r>
            <w:r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қырыптар</w:t>
            </w:r>
            <w:r w:rsidR="00FA3739" w:rsidRPr="008E0E9F"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ы</w:t>
            </w:r>
          </w:p>
          <w:p w:rsidR="005540DB" w:rsidRPr="008E0E9F" w:rsidRDefault="005B3D76" w:rsidP="005540DB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  <w:t>Тапсыру формасы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B3D76" w:rsidP="005B3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тапсырмалар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Pr="008E0E9F" w:rsidRDefault="005540DB" w:rsidP="00561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</w:t>
            </w:r>
          </w:p>
        </w:tc>
      </w:tr>
      <w:tr w:rsidR="0078235D" w:rsidRPr="008E0E9F" w:rsidTr="0078235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78235D">
            <w:pPr>
              <w:pStyle w:val="5"/>
              <w:spacing w:before="0" w:after="0"/>
              <w:rPr>
                <w:i w:val="0"/>
                <w:sz w:val="24"/>
                <w:szCs w:val="24"/>
                <w:lang w:val="kk-KZ" w:eastAsia="ja-JP"/>
              </w:rPr>
            </w:pPr>
          </w:p>
        </w:tc>
      </w:tr>
      <w:tr w:rsidR="00561669" w:rsidRPr="008E0E9F" w:rsidTr="00613CC5">
        <w:trPr>
          <w:trHeight w:val="29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Pr="008E0E9F" w:rsidRDefault="005540DB" w:rsidP="0055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A216B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СӨЖ. </w:t>
            </w:r>
            <w:r w:rsidR="004A216B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ХХ ғасырдың корпоративтік теориялары. Бизнестегі этика</w:t>
            </w:r>
          </w:p>
          <w:p w:rsidR="004A216B" w:rsidRPr="008E0E9F" w:rsidRDefault="005540DB" w:rsidP="005540DB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   Реферат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3 </w:t>
            </w:r>
            <w:proofErr w:type="spellStart"/>
            <w:r w:rsidR="005B3D76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8235D" w:rsidRPr="008E0E9F" w:rsidRDefault="0078235D" w:rsidP="005540DB">
            <w:pPr>
              <w:pStyle w:val="11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5540DB" w:rsidP="005540D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«Стивен Р. Кови. 7 навыков высокоэффективных людей. Мощные инструменты развития личности» (М., 2012) кітабы бойынша реферат дайындау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 w:rsidP="00C40B2D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Стивен Р. Кови. 7 навыков высокоэффективных людей. Мощные инструменты развития личности. М., 2012</w:t>
            </w:r>
          </w:p>
          <w:p w:rsidR="0078235D" w:rsidRPr="008E0E9F" w:rsidRDefault="0078235D" w:rsidP="005540D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C40B2D" w:rsidTr="00613CC5">
        <w:trPr>
          <w:trHeight w:val="9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5D" w:rsidRPr="008E0E9F" w:rsidRDefault="00F4549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6B" w:rsidRPr="008E0E9F" w:rsidRDefault="004A216B" w:rsidP="004A21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  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Таб</w:t>
            </w:r>
            <w:r w:rsidR="00E26D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ысқа жету этикасы мен мәдениеті  </w:t>
            </w:r>
          </w:p>
          <w:p w:rsidR="0078235D" w:rsidRPr="008E0E9F" w:rsidRDefault="00C40B2D">
            <w:pPr>
              <w:pStyle w:val="4"/>
              <w:spacing w:before="0" w:after="0"/>
              <w:rPr>
                <w:b w:val="0"/>
                <w:sz w:val="24"/>
                <w:szCs w:val="24"/>
                <w:lang w:val="kk-KZ" w:eastAsia="ja-JP"/>
              </w:rPr>
            </w:pPr>
            <w:r>
              <w:rPr>
                <w:b w:val="0"/>
                <w:sz w:val="24"/>
                <w:szCs w:val="24"/>
                <w:lang w:val="kk-KZ" w:eastAsia="ja-JP"/>
              </w:rPr>
              <w:t>Рецензия</w:t>
            </w:r>
            <w:r w:rsidR="005B3D76">
              <w:rPr>
                <w:b w:val="0"/>
                <w:sz w:val="24"/>
                <w:szCs w:val="24"/>
                <w:lang w:val="kk-KZ" w:eastAsia="ja-JP"/>
              </w:rPr>
              <w:t xml:space="preserve"> – 6 апта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«Универ» жүйесіне қойылған 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Презентацияға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сыни 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пікір жазу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9C" w:rsidRPr="008E0E9F" w:rsidRDefault="008E719C" w:rsidP="008E719C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Габитов Т.Х. Табысқа жету этикасы. Презентация. Алматы</w:t>
            </w:r>
            <w:r w:rsidRPr="008E0E9F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:rsidR="008E719C" w:rsidRPr="008E0E9F" w:rsidRDefault="008E719C" w:rsidP="008E7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Гусейнов А., Апресян Г. Этика. – М., 1998.</w:t>
            </w:r>
          </w:p>
          <w:p w:rsidR="0078235D" w:rsidRPr="008E0E9F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8E0E9F" w:rsidTr="00613CC5">
        <w:trPr>
          <w:trHeight w:val="2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69" w:rsidRDefault="004A216B" w:rsidP="0056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 </w:t>
            </w:r>
            <w:r w:rsid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СӨЖ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Этика өлшемдері. Адамгершілік өлшемдері</w:t>
            </w:r>
          </w:p>
          <w:p w:rsidR="00C40B2D" w:rsidRPr="008E0E9F" w:rsidRDefault="00C40B2D" w:rsidP="00561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  <w:r w:rsidR="005B3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9 апта</w:t>
            </w:r>
          </w:p>
          <w:p w:rsidR="004A216B" w:rsidRPr="008E0E9F" w:rsidRDefault="004A216B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35D" w:rsidRPr="008E0E9F" w:rsidRDefault="0078235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Болдогоев Д. Личная эффективность на 100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Сбросить балласт, найти себя, достичь цели» (М.,2012) кітабы бойынша реферат дайындау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Болдогоев Д. Личная эффективность на 100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Сбросить балласт, найти себя, достичь цели» (М.,2012)</w:t>
            </w:r>
          </w:p>
        </w:tc>
      </w:tr>
      <w:tr w:rsidR="00561669" w:rsidRPr="00C40B2D" w:rsidTr="00613CC5">
        <w:trPr>
          <w:trHeight w:val="56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5D" w:rsidRPr="008E0E9F" w:rsidRDefault="00F4549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6B" w:rsidRDefault="00DA37A2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 4 -</w:t>
            </w:r>
            <w:r w:rsidR="004A216B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0B2D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Арт-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менеджмент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40B2D" w:rsidRPr="008E0E9F" w:rsidRDefault="005B3D76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 апта</w:t>
            </w:r>
          </w:p>
          <w:p w:rsidR="0078235D" w:rsidRPr="008E0E9F" w:rsidRDefault="0078235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613CC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</w:t>
            </w:r>
            <w:r w:rsidRPr="00613C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Өнерде ж</w:t>
            </w:r>
            <w:r w:rsidRPr="008E0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етістікке жеткен адамдар тарихынан</w:t>
            </w:r>
            <w:r w:rsidRPr="008E0E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презентация </w:t>
            </w:r>
            <w:r w:rsidRPr="00613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жасаңыздар 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Джанабаева Г.Д. Этика. Эстетика. Этикет. – Астана: </w:t>
            </w: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Фолиант, 2018. – 224 с.</w:t>
            </w:r>
          </w:p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Дэвид Кэмерон Джиканди. Фильм Секрет. – Москва, 2014</w:t>
            </w:r>
          </w:p>
          <w:p w:rsidR="00613CC5" w:rsidRPr="008E0E9F" w:rsidRDefault="00613CC5" w:rsidP="00613CC5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Иванова С. Болдогоев Д. Личная эффективность на 100</w:t>
            </w:r>
            <w:r w:rsidRPr="008E0E9F">
              <w:rPr>
                <w:rFonts w:ascii="Times New Roman" w:hAnsi="Times New Roman"/>
                <w:sz w:val="24"/>
                <w:szCs w:val="24"/>
              </w:rPr>
              <w:t>%</w:t>
            </w:r>
            <w:r w:rsidRPr="008E0E9F">
              <w:rPr>
                <w:rFonts w:ascii="Times New Roman" w:hAnsi="Times New Roman"/>
                <w:sz w:val="24"/>
                <w:szCs w:val="24"/>
                <w:lang w:val="kk-KZ"/>
              </w:rPr>
              <w:t>. Сбросить балласт, найти себя, достичь цели. М.,2012</w:t>
            </w:r>
          </w:p>
          <w:p w:rsidR="0078235D" w:rsidRPr="00C40B2D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61669" w:rsidRPr="00C40B2D" w:rsidTr="00613CC5">
        <w:trPr>
          <w:trHeight w:val="1965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F4549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  <w:lastRenderedPageBreak/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BB" w:rsidRDefault="004A216B" w:rsidP="00E26DBB">
            <w:pPr>
              <w:tabs>
                <w:tab w:val="left" w:pos="851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A3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40B2D" w:rsidRPr="008E0E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</w:t>
            </w:r>
            <w:r w:rsidR="00C40B2D" w:rsidRPr="008E0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4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«Мәдениет және нарық</w:t>
            </w:r>
            <w:r w:rsidR="00613CC5" w:rsidRPr="00E26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  <w:p w:rsidR="005B3D76" w:rsidRPr="005B3D76" w:rsidRDefault="005B3D76" w:rsidP="005B3D76">
            <w:pPr>
              <w:pStyle w:val="a7"/>
              <w:numPr>
                <w:ilvl w:val="0"/>
                <w:numId w:val="3"/>
              </w:numPr>
              <w:tabs>
                <w:tab w:val="left" w:pos="851"/>
                <w:tab w:val="left" w:pos="1276"/>
              </w:tabs>
              <w:rPr>
                <w:lang w:val="kk-KZ"/>
              </w:rPr>
            </w:pPr>
            <w:r w:rsidRPr="005B3D76">
              <w:rPr>
                <w:lang w:val="kk-KZ"/>
              </w:rPr>
              <w:t>14 апта</w:t>
            </w:r>
          </w:p>
          <w:p w:rsidR="004A216B" w:rsidRPr="008E0E9F" w:rsidRDefault="004A216B" w:rsidP="004A216B">
            <w:pPr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235D" w:rsidRPr="008E0E9F" w:rsidRDefault="0078235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5D" w:rsidRPr="008E0E9F" w:rsidRDefault="00C40B2D" w:rsidP="00C40B2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Универ» жүйесіне қойылған «Мәдениет және нарық» </w:t>
            </w:r>
            <w:r w:rsidRPr="00E26D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 студенттердің өзіндік жұмысына арналған контент бойынша презентация дайындаңыз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C5" w:rsidRPr="008E0E9F" w:rsidRDefault="00613CC5" w:rsidP="00613CC5">
            <w:pPr>
              <w:tabs>
                <w:tab w:val="left" w:pos="360"/>
                <w:tab w:val="num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Кузин Ф.А. Культура делового общения. Практическое пособие. – М., 1996.</w:t>
            </w:r>
          </w:p>
          <w:p w:rsidR="00613CC5" w:rsidRPr="008E0E9F" w:rsidRDefault="00613CC5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Берн Э. Игры, в которые играют люди. Психология человеческой судьбы / Пер. с англ. - СПб.: </w:t>
            </w:r>
            <w:proofErr w:type="spell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Лениздат</w:t>
            </w:r>
            <w:proofErr w:type="spell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, 1992. - 400 </w:t>
            </w:r>
            <w:proofErr w:type="gram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CC5" w:rsidRPr="008E0E9F" w:rsidRDefault="00613CC5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Леви В.Л. Искусство быть другим. - М.: Знание, 1980. - 208 </w:t>
            </w:r>
            <w:proofErr w:type="gramStart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0E9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78235D" w:rsidRPr="008E0E9F" w:rsidRDefault="0078235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C40B2D" w:rsidRPr="00C40B2D" w:rsidTr="00C40B2D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4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C40B2D" w:rsidRPr="00C40B2D" w:rsidTr="00613CC5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Pr="008E0E9F" w:rsidRDefault="00C40B2D" w:rsidP="00C40B2D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Default="00C40B2D" w:rsidP="00C40B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B2D" w:rsidRPr="008E0E9F" w:rsidRDefault="00C40B2D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</w:tbl>
    <w:p w:rsidR="00613CC5" w:rsidRDefault="00613CC5" w:rsidP="00782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235D" w:rsidRPr="008E0E9F" w:rsidRDefault="0078235D" w:rsidP="007823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8"/>
      </w:tblGrid>
      <w:tr w:rsidR="0078235D" w:rsidRPr="008E0E9F" w:rsidTr="0078235D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35D" w:rsidRPr="008E0E9F" w:rsidRDefault="0078235D" w:rsidP="00613C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</w:tbl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caps/>
          <w:sz w:val="24"/>
          <w:szCs w:val="24"/>
          <w:lang w:val="uk-UA"/>
        </w:rPr>
        <w:t>Өзіндік жұмыстарды орындаудың талаптары мен шарттары</w:t>
      </w:r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0D0FB0" w:rsidRPr="008E0E9F" w:rsidRDefault="000D0FB0" w:rsidP="000D0FB0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Жоғарғы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орнының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E9F">
        <w:rPr>
          <w:rFonts w:ascii="Times New Roman" w:hAnsi="Times New Roman" w:cs="Times New Roman"/>
          <w:sz w:val="24"/>
          <w:szCs w:val="24"/>
          <w:lang w:val="kk-KZ"/>
        </w:rPr>
        <w:t>студе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этика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пәні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бірнеше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өткізуі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арналған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топтастырылған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себебі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әрқайсысы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әр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тізімінен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таңдап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алынып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бірін-бірі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қайталамауы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жеткілікті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мөлшерде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құрастырылған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сондықтан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топтағы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орындауына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болмайды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теориялық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кезеңдерді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қамтитындықтан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тиісті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әдебиеттердің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тізімімен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қамтамасыз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соңғы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уақыттарда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баспадан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шыққан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жаңа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кітаптар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көмектессе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тізімде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көрсетілмеген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де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пайдалануға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 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тиісті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кеңестер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алуы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Таңдап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алынған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оқытушымен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келісу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себебі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тақырыптар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шеңберінен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шығуға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студент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мәжбүр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жетекшімен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ақылдасуы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2.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мақалалар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кеңес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бекіту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талапқа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формада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көркемдеу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Түсінбеген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сұрақтар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жайында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мағлұмат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белгіленген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мерзімдерде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тексеруге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беру.</w:t>
      </w:r>
    </w:p>
    <w:p w:rsidR="000D0FB0" w:rsidRPr="008E0E9F" w:rsidRDefault="000D0FB0" w:rsidP="000D0FB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Ұстаз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тарапынан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жасалынған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ескертулер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түзетулерді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толықтырып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уақытта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тапсыру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формасына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мынандай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талаптар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>қойылады</w:t>
      </w:r>
      <w:proofErr w:type="spellEnd"/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0D0FB0" w:rsidRPr="008E0E9F" w:rsidRDefault="000D0FB0" w:rsidP="000D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E9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төрт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бөлімшнден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артық-кем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ерекше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жағдайда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бөлімше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мүмкін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монографиялар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мақалаларды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оқып-талдаудың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нәтижесінде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құрылуы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Аяқталған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мынандай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көрсеткіштері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студент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тақырыбының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теориясы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терең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танып-білгендігін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екіншіден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құбылыстарды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талдай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ғалымдар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ағымдар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көзқарасы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тұрғысынан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бағалай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білу;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үшіншіден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зерттеп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мәдени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құбылыстың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тарихтағы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қазіргі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заманғы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маңызын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дәлелдеу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0FB0" w:rsidRPr="008E0E9F" w:rsidRDefault="000D0FB0" w:rsidP="000D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Өзіндік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жұмыстарда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қатысы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бар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концепцияларды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авторлары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еңбектерінің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тексте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келтірілген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нөмірлеп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белгілеп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қою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Бір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түрлі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қалыптасқан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болса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оларды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салыстыра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отырып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түсінігіне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келетін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біреуін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тиіс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Ғылыми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құндылығы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студенттің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жеке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пікірінің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қалыптасуы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айғақты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дәлелдей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алуымен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бағаланады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Мәселенің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мәнін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ашатын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жақтарына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назар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аудара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білу,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фактілер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уәждер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арқылы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тұжырым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жасай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алатындығы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деңгейін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көтере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түседі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логикалық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тұрғыдан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дұрыс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жоспарға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шарт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құрылымы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қорытындыдан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тұрады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автор,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мақсаты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мұратын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тақырыбтың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өзектілігін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атап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өтіп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осы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мәселеге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қатысты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әдебиеттерге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қысқаша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шолу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жасайды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бөлімде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тұжырымдар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айтылады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нәтижесі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ретінде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түйіндеме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жасалып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семестрлік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аяқталады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формасына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келсек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оның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көлемі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8 - 10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компьютерлік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қағаз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шамасынан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кем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болмауы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кіріспе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бетін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қоспағанда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әрбір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бетінде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орын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қалдырылып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тараулардың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аттары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жазылып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сілтемелер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соңында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көрсетілуі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қажет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Жұмыстың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сыртқы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беті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ғана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машинкада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немесе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компьютерде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теріліп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мазмұны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көрнекті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түсінікті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жазумен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, таза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түзетулерсіз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қолмен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жазылған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болуы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0E9F">
        <w:rPr>
          <w:rFonts w:ascii="Times New Roman" w:hAnsi="Times New Roman" w:cs="Times New Roman"/>
          <w:sz w:val="24"/>
          <w:szCs w:val="24"/>
          <w:lang w:val="uk-UA"/>
        </w:rPr>
        <w:t>керек</w:t>
      </w:r>
      <w:proofErr w:type="spellEnd"/>
      <w:r w:rsidRPr="008E0E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360E" w:rsidRPr="008E0E9F" w:rsidRDefault="003E360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E360E" w:rsidRPr="008E0E9F" w:rsidSect="001D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87C"/>
    <w:multiLevelType w:val="hybridMultilevel"/>
    <w:tmpl w:val="A67C5E88"/>
    <w:lvl w:ilvl="0" w:tplc="3904DD3A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B74C3"/>
    <w:multiLevelType w:val="hybridMultilevel"/>
    <w:tmpl w:val="E232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87142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35D"/>
    <w:rsid w:val="000D0FB0"/>
    <w:rsid w:val="000E262B"/>
    <w:rsid w:val="0016372B"/>
    <w:rsid w:val="001D6C70"/>
    <w:rsid w:val="00257D1A"/>
    <w:rsid w:val="0027078B"/>
    <w:rsid w:val="003E360E"/>
    <w:rsid w:val="004A216B"/>
    <w:rsid w:val="005329A9"/>
    <w:rsid w:val="005540DB"/>
    <w:rsid w:val="00561669"/>
    <w:rsid w:val="00575223"/>
    <w:rsid w:val="00585E38"/>
    <w:rsid w:val="005B3D76"/>
    <w:rsid w:val="00613CC5"/>
    <w:rsid w:val="00701DD4"/>
    <w:rsid w:val="0078235D"/>
    <w:rsid w:val="007F1209"/>
    <w:rsid w:val="008E0E9F"/>
    <w:rsid w:val="008E719C"/>
    <w:rsid w:val="009552FB"/>
    <w:rsid w:val="009D4FF7"/>
    <w:rsid w:val="00A451AD"/>
    <w:rsid w:val="00A959D3"/>
    <w:rsid w:val="00B51879"/>
    <w:rsid w:val="00C40B2D"/>
    <w:rsid w:val="00D51066"/>
    <w:rsid w:val="00DA37A2"/>
    <w:rsid w:val="00E26DBB"/>
    <w:rsid w:val="00F114D4"/>
    <w:rsid w:val="00F4549C"/>
    <w:rsid w:val="00FA3739"/>
    <w:rsid w:val="00FB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0"/>
  </w:style>
  <w:style w:type="paragraph" w:styleId="1">
    <w:name w:val="heading 1"/>
    <w:basedOn w:val="a"/>
    <w:next w:val="a"/>
    <w:link w:val="10"/>
    <w:uiPriority w:val="9"/>
    <w:qFormat/>
    <w:rsid w:val="00554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8235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8235D"/>
    <w:pPr>
      <w:keepNext/>
      <w:widowControl w:val="0"/>
      <w:spacing w:before="240" w:after="60" w:line="240" w:lineRule="auto"/>
      <w:ind w:firstLine="4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823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23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23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8235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aliases w:val="Обычный (Web),Обычный (веб) Знак1,Обычный (веб) Знак Знак,Обычный (веб) Знак"/>
    <w:basedOn w:val="a"/>
    <w:uiPriority w:val="99"/>
    <w:unhideWhenUsed/>
    <w:qFormat/>
    <w:rsid w:val="0078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782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3">
    <w:name w:val="caaieiaie3"/>
    <w:basedOn w:val="a"/>
    <w:uiPriority w:val="99"/>
    <w:qFormat/>
    <w:rsid w:val="0078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9D4F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link w:val="a5"/>
    <w:locked/>
    <w:rsid w:val="000D0FB0"/>
    <w:rPr>
      <w:sz w:val="24"/>
      <w:szCs w:val="24"/>
    </w:rPr>
  </w:style>
  <w:style w:type="paragraph" w:styleId="a5">
    <w:name w:val="Title"/>
    <w:aliases w:val="Знак7 Знак,Название Знак Знак,Знак Знак1 Знак,Знак7,Знак7 Знак1,Знак7 Знак Знак Знак"/>
    <w:basedOn w:val="a"/>
    <w:link w:val="a4"/>
    <w:qFormat/>
    <w:rsid w:val="000D0FB0"/>
    <w:pPr>
      <w:spacing w:after="0" w:line="240" w:lineRule="auto"/>
      <w:jc w:val="center"/>
    </w:pPr>
    <w:rPr>
      <w:sz w:val="24"/>
      <w:szCs w:val="24"/>
    </w:rPr>
  </w:style>
  <w:style w:type="character" w:customStyle="1" w:styleId="13">
    <w:name w:val="Название Знак1"/>
    <w:basedOn w:val="a0"/>
    <w:link w:val="a5"/>
    <w:uiPriority w:val="10"/>
    <w:rsid w:val="000D0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">
    <w:name w:val="Абзац списка2"/>
    <w:basedOn w:val="a"/>
    <w:rsid w:val="00A959D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Базовый"/>
    <w:uiPriority w:val="99"/>
    <w:qFormat/>
    <w:rsid w:val="00A959D3"/>
    <w:pPr>
      <w:tabs>
        <w:tab w:val="left" w:pos="708"/>
      </w:tabs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customStyle="1" w:styleId="41">
    <w:name w:val="Без интервала4"/>
    <w:uiPriority w:val="99"/>
    <w:qFormat/>
    <w:rsid w:val="00163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54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5540D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2018-12-01T02:58:00Z</dcterms:created>
  <dcterms:modified xsi:type="dcterms:W3CDTF">2019-04-06T10:30:00Z</dcterms:modified>
</cp:coreProperties>
</file>